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2710E">
      <w:pPr>
        <w:widowControl/>
        <w:jc w:val="left"/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  <w:t>NSSW-POE-RX24G-2SFP</w:t>
      </w:r>
    </w:p>
    <w:p w14:paraId="0556C365">
      <w:pPr>
        <w:widowControl/>
        <w:jc w:val="left"/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  <w:t>全千兆POE供电交换机</w:t>
      </w:r>
    </w:p>
    <w:p w14:paraId="5E3FC1AF">
      <w:pPr>
        <w:spacing w:before="156" w:beforeLines="50"/>
        <w:ind w:left="-567" w:leftChars="-270"/>
        <w:jc w:val="center"/>
      </w:pPr>
    </w:p>
    <w:p w14:paraId="4EF62CD1">
      <w:pPr>
        <w:spacing w:before="156" w:beforeLines="50"/>
        <w:ind w:left="0" w:leftChars="0" w:firstLine="0" w:firstLineChars="0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产品概述</w:t>
      </w:r>
    </w:p>
    <w:p w14:paraId="55222A63">
      <w:pPr>
        <w:spacing w:line="400" w:lineRule="exact"/>
        <w:ind w:left="0" w:leftChars="0" w:firstLine="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POE-RX24G-2SFP千兆以太网PoE交换机，该产品提供24个千兆PoE口、2个千兆上联口和2个SFP光口，PoE端口满足802.3af/at标准，具有AI看门狗功能，支持PoE摄像机掉线侦测，自动断电重启。支持2种工作模式（Standard,VLAN）,整机最大功率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>400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W。</w:t>
      </w:r>
    </w:p>
    <w:p w14:paraId="01A0FA25">
      <w:pPr>
        <w:spacing w:line="400" w:lineRule="exact"/>
        <w:ind w:left="0" w:leftChars="0" w:firstLine="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</w:p>
    <w:p w14:paraId="3B46A130">
      <w:pPr>
        <w:spacing w:line="400" w:lineRule="exact"/>
        <w:ind w:left="0" w:leftChars="0" w:firstLine="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ascii="微软雅黑" w:hAnsi="微软雅黑" w:eastAsia="微软雅黑"/>
          <w:b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174625</wp:posOffset>
            </wp:positionV>
            <wp:extent cx="4392930" cy="2032000"/>
            <wp:effectExtent l="0" t="0" r="127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0F75A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65411A71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4B7F0DB9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213DE5BC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77DDF3EF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4A3D5205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0DD6803E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21D5BE79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18E41987">
      <w:pPr>
        <w:spacing w:before="156" w:beforeLines="50"/>
        <w:ind w:left="0" w:leftChars="0" w:firstLine="0" w:firstLineChars="0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产品特点</w:t>
      </w:r>
    </w:p>
    <w:p w14:paraId="01B413B5">
      <w:pPr>
        <w:numPr>
          <w:ilvl w:val="0"/>
          <w:numId w:val="1"/>
        </w:numPr>
        <w:tabs>
          <w:tab w:val="left" w:pos="-142"/>
          <w:tab w:val="left" w:pos="993"/>
          <w:tab w:val="clear" w:pos="420"/>
        </w:tabs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具有24个千兆POE供电端口、且具备看门狗功能；</w:t>
      </w:r>
    </w:p>
    <w:p w14:paraId="7464BB0D">
      <w:pPr>
        <w:numPr>
          <w:ilvl w:val="0"/>
          <w:numId w:val="1"/>
        </w:numPr>
        <w:tabs>
          <w:tab w:val="left" w:pos="-142"/>
          <w:tab w:val="left" w:pos="993"/>
          <w:tab w:val="clear" w:pos="420"/>
        </w:tabs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具有2个千兆上联端口、2个SFP光口；</w:t>
      </w:r>
    </w:p>
    <w:p w14:paraId="5768D9AF">
      <w:pPr>
        <w:numPr>
          <w:ilvl w:val="0"/>
          <w:numId w:val="1"/>
        </w:numPr>
        <w:tabs>
          <w:tab w:val="left" w:pos="-142"/>
          <w:tab w:val="left" w:pos="993"/>
          <w:tab w:val="clear" w:pos="420"/>
        </w:tabs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具有PoE端口隔离VLAN功能。</w:t>
      </w:r>
    </w:p>
    <w:p w14:paraId="6C73F7FF">
      <w:pPr>
        <w:tabs>
          <w:tab w:val="left" w:pos="-142"/>
          <w:tab w:val="left" w:pos="993"/>
        </w:tabs>
        <w:spacing w:line="400" w:lineRule="exact"/>
        <w:ind w:left="0" w:leftChars="0" w:firstLine="0" w:firstLineChars="0"/>
        <w:jc w:val="left"/>
        <w:rPr>
          <w:rFonts w:ascii="微软雅黑" w:hAnsi="微软雅黑" w:eastAsia="微软雅黑" w:cs="Times New Roman"/>
          <w:szCs w:val="21"/>
        </w:rPr>
      </w:pPr>
    </w:p>
    <w:p w14:paraId="53879558">
      <w:pPr>
        <w:tabs>
          <w:tab w:val="left" w:pos="-142"/>
          <w:tab w:val="left" w:pos="993"/>
        </w:tabs>
        <w:spacing w:line="400" w:lineRule="exact"/>
        <w:jc w:val="left"/>
        <w:rPr>
          <w:rFonts w:ascii="微软雅黑" w:hAnsi="微软雅黑" w:eastAsia="微软雅黑" w:cs="Times New Roman"/>
          <w:szCs w:val="21"/>
        </w:rPr>
      </w:pPr>
    </w:p>
    <w:p w14:paraId="49D0742C">
      <w:pPr>
        <w:rPr>
          <w:rFonts w:hint="eastAsia"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br w:type="page"/>
      </w:r>
    </w:p>
    <w:p w14:paraId="05A28B53">
      <w:pPr>
        <w:jc w:val="left"/>
        <w:rPr>
          <w:rFonts w:ascii="微软雅黑" w:hAnsi="微软雅黑" w:eastAsia="微软雅黑"/>
          <w:b/>
          <w:color w:val="0066FF"/>
          <w:sz w:val="18"/>
          <w:szCs w:val="1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硬件规格</w:t>
      </w:r>
    </w:p>
    <w:tbl>
      <w:tblPr>
        <w:tblStyle w:val="3"/>
        <w:tblW w:w="8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177"/>
      </w:tblGrid>
      <w:tr w14:paraId="01D7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restart"/>
            <w:vAlign w:val="center"/>
          </w:tcPr>
          <w:p w14:paraId="47C7A819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端口</w:t>
            </w:r>
          </w:p>
        </w:tc>
        <w:tc>
          <w:tcPr>
            <w:tcW w:w="6177" w:type="dxa"/>
            <w:vAlign w:val="center"/>
          </w:tcPr>
          <w:p w14:paraId="5188A2B8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24个千兆POE供电端口</w:t>
            </w:r>
          </w:p>
        </w:tc>
      </w:tr>
      <w:tr w14:paraId="7C32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3B970F8C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2D3C4514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2个千兆上联端口</w:t>
            </w:r>
          </w:p>
        </w:tc>
      </w:tr>
      <w:tr w14:paraId="73CD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4876FD8A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17E97F83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2个SFP光口</w:t>
            </w:r>
          </w:p>
        </w:tc>
      </w:tr>
      <w:tr w14:paraId="0BE3C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2CA9542B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输入电压</w:t>
            </w:r>
          </w:p>
        </w:tc>
        <w:tc>
          <w:tcPr>
            <w:tcW w:w="6177" w:type="dxa"/>
            <w:vAlign w:val="center"/>
          </w:tcPr>
          <w:p w14:paraId="770EBFDF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110Vac-240Vac（常规值220Vac）</w:t>
            </w:r>
          </w:p>
        </w:tc>
      </w:tr>
      <w:tr w14:paraId="7C81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3D73856A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输入频率</w:t>
            </w:r>
          </w:p>
        </w:tc>
        <w:tc>
          <w:tcPr>
            <w:tcW w:w="6177" w:type="dxa"/>
            <w:vAlign w:val="center"/>
          </w:tcPr>
          <w:p w14:paraId="13D20E79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47Hz-63Hz（常规值50Hz）</w:t>
            </w:r>
          </w:p>
        </w:tc>
      </w:tr>
      <w:tr w14:paraId="653C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2222F11D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  <w:t>输入电流</w:t>
            </w:r>
          </w:p>
        </w:tc>
        <w:tc>
          <w:tcPr>
            <w:tcW w:w="6177" w:type="dxa"/>
            <w:vAlign w:val="center"/>
          </w:tcPr>
          <w:p w14:paraId="3188B962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最大值4.5A</w:t>
            </w:r>
          </w:p>
        </w:tc>
      </w:tr>
      <w:tr w14:paraId="1FB4D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621B97FE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待机功耗</w:t>
            </w:r>
          </w:p>
        </w:tc>
        <w:tc>
          <w:tcPr>
            <w:tcW w:w="6177" w:type="dxa"/>
            <w:vAlign w:val="center"/>
          </w:tcPr>
          <w:p w14:paraId="57A2E841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最大值20W（交换机不接摄像头或负载）</w:t>
            </w:r>
          </w:p>
        </w:tc>
      </w:tr>
      <w:tr w14:paraId="3850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78CAB85C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冲击电流</w:t>
            </w:r>
          </w:p>
        </w:tc>
        <w:tc>
          <w:tcPr>
            <w:tcW w:w="6177" w:type="dxa"/>
            <w:vAlign w:val="center"/>
          </w:tcPr>
          <w:p w14:paraId="140FAC44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最大值100A（AC输入110Vac，冷启动）</w:t>
            </w:r>
          </w:p>
        </w:tc>
      </w:tr>
      <w:tr w14:paraId="7FA26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01DF2FD9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网络标准</w:t>
            </w:r>
          </w:p>
        </w:tc>
        <w:tc>
          <w:tcPr>
            <w:tcW w:w="6177" w:type="dxa"/>
            <w:vAlign w:val="center"/>
          </w:tcPr>
          <w:p w14:paraId="6A3B4A68">
            <w:pPr>
              <w:pStyle w:val="5"/>
              <w:tabs>
                <w:tab w:val="left" w:pos="635"/>
              </w:tabs>
              <w:ind w:left="0" w:right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shd w:val="clear" w:color="auto" w:fill="FFFFFF"/>
              </w:rPr>
              <w:t>IEEE802.3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shd w:val="clear" w:color="auto" w:fill="FFFFFF"/>
                <w:lang w:eastAsia="zh-CN"/>
              </w:rPr>
              <w:t>,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shd w:val="clear" w:color="auto" w:fill="FFFFFF"/>
              </w:rPr>
              <w:t>IEEE802.3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shd w:val="clear" w:color="auto" w:fill="FFFFFF"/>
                <w:lang w:eastAsia="zh-CN"/>
              </w:rPr>
              <w:t>u,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shd w:val="clear" w:color="auto" w:fill="FFFFFF"/>
              </w:rPr>
              <w:t>IEEE802.3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shd w:val="clear" w:color="auto" w:fill="FFFFFF"/>
                <w:lang w:eastAsia="zh-CN"/>
              </w:rPr>
              <w:t>x,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shd w:val="clear" w:color="auto" w:fill="FFFFFF"/>
              </w:rPr>
              <w:t>IEEE802.3ab</w:t>
            </w:r>
          </w:p>
        </w:tc>
      </w:tr>
      <w:tr w14:paraId="1E507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14A02138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网络传输介质</w:t>
            </w:r>
          </w:p>
        </w:tc>
        <w:tc>
          <w:tcPr>
            <w:tcW w:w="6177" w:type="dxa"/>
            <w:vAlign w:val="center"/>
          </w:tcPr>
          <w:p w14:paraId="5E272201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10/100/1000BASE-TX: 5类及以上非屏蔽双绞线</w:t>
            </w:r>
          </w:p>
        </w:tc>
      </w:tr>
      <w:tr w14:paraId="7970D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0FF9BC84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网络信号距离</w:t>
            </w:r>
          </w:p>
        </w:tc>
        <w:tc>
          <w:tcPr>
            <w:tcW w:w="6177" w:type="dxa"/>
            <w:vAlign w:val="center"/>
          </w:tcPr>
          <w:p w14:paraId="7AC1D763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传输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≤100米</w:t>
            </w:r>
          </w:p>
        </w:tc>
      </w:tr>
      <w:tr w14:paraId="36A1D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79DE7306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背板带宽</w:t>
            </w:r>
          </w:p>
        </w:tc>
        <w:tc>
          <w:tcPr>
            <w:tcW w:w="6177" w:type="dxa"/>
            <w:vAlign w:val="center"/>
          </w:tcPr>
          <w:p w14:paraId="65EFABE2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56Gbps背板带宽</w:t>
            </w:r>
          </w:p>
        </w:tc>
      </w:tr>
      <w:tr w14:paraId="53BE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restart"/>
            <w:vAlign w:val="center"/>
          </w:tcPr>
          <w:p w14:paraId="7AA5A2E0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转发方式</w:t>
            </w:r>
          </w:p>
        </w:tc>
        <w:tc>
          <w:tcPr>
            <w:tcW w:w="6177" w:type="dxa"/>
            <w:vAlign w:val="center"/>
          </w:tcPr>
          <w:p w14:paraId="3F66545A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10BASE-tx:14880pps/port</w:t>
            </w:r>
          </w:p>
        </w:tc>
      </w:tr>
      <w:tr w14:paraId="3142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58D5EDD7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22124087">
            <w:pPr>
              <w:shd w:val="solid" w:color="FFFFFF" w:fill="auto"/>
              <w:autoSpaceDN w:val="0"/>
              <w:spacing w:before="45" w:after="45"/>
              <w:jc w:val="lef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100BASE-tx：148800pps/port</w:t>
            </w:r>
          </w:p>
        </w:tc>
      </w:tr>
      <w:tr w14:paraId="3CA3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53920F64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25655CBA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1000BASE-tx：1488000pps/port</w:t>
            </w:r>
          </w:p>
        </w:tc>
      </w:tr>
      <w:tr w14:paraId="6D50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553EB419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MAC地址</w:t>
            </w:r>
          </w:p>
        </w:tc>
        <w:tc>
          <w:tcPr>
            <w:tcW w:w="6177" w:type="dxa"/>
            <w:vAlign w:val="center"/>
          </w:tcPr>
          <w:p w14:paraId="6190065C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8K的MAC地址表</w:t>
            </w:r>
          </w:p>
        </w:tc>
      </w:tr>
      <w:tr w14:paraId="2C51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restart"/>
            <w:vAlign w:val="center"/>
          </w:tcPr>
          <w:p w14:paraId="54587C65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端口功能</w:t>
            </w:r>
          </w:p>
        </w:tc>
        <w:tc>
          <w:tcPr>
            <w:tcW w:w="6177" w:type="dxa"/>
            <w:vAlign w:val="center"/>
          </w:tcPr>
          <w:p w14:paraId="61A905D5">
            <w:pPr>
              <w:widowControl/>
              <w:jc w:val="left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供电优先机制，快速与转发，MAC自动学习与老化</w:t>
            </w:r>
          </w:p>
        </w:tc>
      </w:tr>
      <w:tr w14:paraId="0424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5269C397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3E815EF5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IEEE802.3X全双工流控与Backpressure半双工流控</w:t>
            </w:r>
          </w:p>
        </w:tc>
      </w:tr>
      <w:tr w14:paraId="043B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0F2B5248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包转发率</w:t>
            </w:r>
          </w:p>
        </w:tc>
        <w:tc>
          <w:tcPr>
            <w:tcW w:w="6177" w:type="dxa"/>
            <w:vAlign w:val="center"/>
          </w:tcPr>
          <w:p w14:paraId="0C0057F8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41.66Mpps</w:t>
            </w:r>
          </w:p>
        </w:tc>
      </w:tr>
      <w:tr w14:paraId="2398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7AC3913B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PoE连接标准</w:t>
            </w:r>
          </w:p>
        </w:tc>
        <w:tc>
          <w:tcPr>
            <w:tcW w:w="6177" w:type="dxa"/>
            <w:vAlign w:val="center"/>
          </w:tcPr>
          <w:p w14:paraId="3BA77DF8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IEEE 802.3af/at</w:t>
            </w:r>
          </w:p>
        </w:tc>
      </w:tr>
      <w:tr w14:paraId="2102E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276FF754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PoE端口输出功率</w:t>
            </w:r>
          </w:p>
        </w:tc>
        <w:tc>
          <w:tcPr>
            <w:tcW w:w="6177" w:type="dxa"/>
            <w:vAlign w:val="center"/>
          </w:tcPr>
          <w:p w14:paraId="0D701C86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单口输出≤30W</w:t>
            </w:r>
          </w:p>
        </w:tc>
      </w:tr>
      <w:tr w14:paraId="3AD2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0857DFFA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PoE输出电压</w:t>
            </w:r>
          </w:p>
        </w:tc>
        <w:tc>
          <w:tcPr>
            <w:tcW w:w="6177" w:type="dxa"/>
            <w:vAlign w:val="center"/>
          </w:tcPr>
          <w:p w14:paraId="2E38243B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DC52V±5%</w:t>
            </w:r>
          </w:p>
        </w:tc>
      </w:tr>
      <w:tr w14:paraId="43E5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41CD2CC7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PoE传电线芯</w:t>
            </w:r>
          </w:p>
        </w:tc>
        <w:tc>
          <w:tcPr>
            <w:tcW w:w="6177" w:type="dxa"/>
            <w:vAlign w:val="center"/>
          </w:tcPr>
          <w:p w14:paraId="773B958C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1/2+、3/6- 线对</w:t>
            </w:r>
          </w:p>
        </w:tc>
      </w:tr>
      <w:tr w14:paraId="2EAA7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45F414D6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POE供电传输距离</w:t>
            </w:r>
          </w:p>
        </w:tc>
        <w:tc>
          <w:tcPr>
            <w:tcW w:w="6177" w:type="dxa"/>
            <w:vAlign w:val="center"/>
          </w:tcPr>
          <w:p w14:paraId="3FD021B8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≤100米</w:t>
            </w:r>
          </w:p>
        </w:tc>
      </w:tr>
      <w:tr w14:paraId="6754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5BB36417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供电传输介质</w:t>
            </w:r>
          </w:p>
        </w:tc>
        <w:tc>
          <w:tcPr>
            <w:tcW w:w="6177" w:type="dxa"/>
            <w:vAlign w:val="center"/>
          </w:tcPr>
          <w:p w14:paraId="0C139C01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10/100/1000BASE-TX: 5类及以上非屏蔽双绞线</w:t>
            </w:r>
          </w:p>
        </w:tc>
      </w:tr>
      <w:tr w14:paraId="3DDF1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2E691442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POE总功率</w:t>
            </w:r>
          </w:p>
        </w:tc>
        <w:tc>
          <w:tcPr>
            <w:tcW w:w="6177" w:type="dxa"/>
            <w:vAlign w:val="center"/>
          </w:tcPr>
          <w:p w14:paraId="103AE13A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MAX:400W</w:t>
            </w:r>
          </w:p>
        </w:tc>
      </w:tr>
      <w:tr w14:paraId="158DE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32C95889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工作温度</w:t>
            </w:r>
          </w:p>
        </w:tc>
        <w:tc>
          <w:tcPr>
            <w:tcW w:w="6177" w:type="dxa"/>
            <w:vAlign w:val="center"/>
          </w:tcPr>
          <w:p w14:paraId="7156447A">
            <w:pPr>
              <w:pStyle w:val="2"/>
              <w:snapToGrid w:val="0"/>
              <w:ind w:left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-10℃-55℃</w:t>
            </w:r>
          </w:p>
        </w:tc>
      </w:tr>
      <w:tr w14:paraId="3A33F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186" w:type="dxa"/>
            <w:vAlign w:val="center"/>
          </w:tcPr>
          <w:p w14:paraId="009C6F32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存储温度</w:t>
            </w:r>
          </w:p>
        </w:tc>
        <w:tc>
          <w:tcPr>
            <w:tcW w:w="6177" w:type="dxa"/>
            <w:vAlign w:val="center"/>
          </w:tcPr>
          <w:p w14:paraId="0C628278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-40℃-85℃</w:t>
            </w:r>
          </w:p>
        </w:tc>
      </w:tr>
      <w:tr w14:paraId="059F3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777DD24F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工作湿度</w:t>
            </w:r>
          </w:p>
        </w:tc>
        <w:tc>
          <w:tcPr>
            <w:tcW w:w="6177" w:type="dxa"/>
            <w:vAlign w:val="center"/>
          </w:tcPr>
          <w:p w14:paraId="30FA1909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10%到90%（无冷凝）</w:t>
            </w:r>
          </w:p>
        </w:tc>
      </w:tr>
      <w:tr w14:paraId="46C66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Align w:val="center"/>
          </w:tcPr>
          <w:p w14:paraId="49003E77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存储湿度</w:t>
            </w:r>
          </w:p>
        </w:tc>
        <w:tc>
          <w:tcPr>
            <w:tcW w:w="6177" w:type="dxa"/>
            <w:vAlign w:val="center"/>
          </w:tcPr>
          <w:p w14:paraId="2969469B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5%到95%（无冷凝）</w:t>
            </w:r>
          </w:p>
        </w:tc>
      </w:tr>
      <w:tr w14:paraId="2DD7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restart"/>
            <w:vAlign w:val="center"/>
          </w:tcPr>
          <w:p w14:paraId="44684C6C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产品规格</w:t>
            </w:r>
          </w:p>
        </w:tc>
        <w:tc>
          <w:tcPr>
            <w:tcW w:w="6177" w:type="dxa"/>
            <w:vAlign w:val="center"/>
          </w:tcPr>
          <w:p w14:paraId="7048A465">
            <w:pPr>
              <w:pStyle w:val="6"/>
              <w:ind w:left="0"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auto"/>
                <w:sz w:val="18"/>
                <w:szCs w:val="18"/>
                <w:lang w:eastAsia="zh-CN"/>
              </w:rPr>
              <w:t>裸机尺寸：440mm*210mm*44mm</w:t>
            </w:r>
          </w:p>
        </w:tc>
      </w:tr>
      <w:tr w14:paraId="342F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2774B1A4">
            <w:pPr>
              <w:widowControl/>
              <w:jc w:val="center"/>
              <w:rPr>
                <w:rFonts w:ascii="微软雅黑" w:hAnsi="微软雅黑" w:eastAsia="微软雅黑" w:cs="微软雅黑"/>
                <w:b/>
                <w:bCs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42CFAD14">
            <w:pPr>
              <w:widowControl/>
              <w:rPr>
                <w:rFonts w:ascii="微软雅黑" w:hAnsi="微软雅黑" w:eastAsia="微软雅黑" w:cs="微软雅黑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18"/>
                <w:szCs w:val="18"/>
              </w:rPr>
              <w:t>裸机重量：2450g±5%</w:t>
            </w:r>
          </w:p>
        </w:tc>
      </w:tr>
      <w:tr w14:paraId="171B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restart"/>
            <w:vAlign w:val="center"/>
          </w:tcPr>
          <w:p w14:paraId="4D3198B7">
            <w:pPr>
              <w:widowControl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配件清单</w:t>
            </w:r>
          </w:p>
        </w:tc>
        <w:tc>
          <w:tcPr>
            <w:tcW w:w="6177" w:type="dxa"/>
            <w:vAlign w:val="center"/>
          </w:tcPr>
          <w:p w14:paraId="02BC9135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挂耳套包1包</w:t>
            </w:r>
          </w:p>
        </w:tc>
      </w:tr>
      <w:tr w14:paraId="6010E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0B9481B6">
            <w:pPr>
              <w:widowControl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5B40CD4D">
            <w:pPr>
              <w:widowControl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说明书1份</w:t>
            </w:r>
          </w:p>
        </w:tc>
      </w:tr>
      <w:tr w14:paraId="5FB25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0377F7C8">
            <w:pPr>
              <w:widowControl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2C69536D">
            <w:pPr>
              <w:widowControl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合格证1个</w:t>
            </w:r>
          </w:p>
        </w:tc>
      </w:tr>
      <w:tr w14:paraId="20E2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86" w:type="dxa"/>
            <w:vMerge w:val="continue"/>
            <w:vAlign w:val="center"/>
          </w:tcPr>
          <w:p w14:paraId="57C1D753">
            <w:pPr>
              <w:widowControl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177" w:type="dxa"/>
            <w:vAlign w:val="center"/>
          </w:tcPr>
          <w:p w14:paraId="426E69F0">
            <w:pPr>
              <w:widowControl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电源线1条</w:t>
            </w:r>
          </w:p>
        </w:tc>
      </w:tr>
      <w:tr w14:paraId="2FCD1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6" w:hRule="atLeast"/>
          <w:jc w:val="center"/>
        </w:trPr>
        <w:tc>
          <w:tcPr>
            <w:tcW w:w="8363" w:type="dxa"/>
            <w:gridSpan w:val="2"/>
          </w:tcPr>
          <w:p w14:paraId="1896F445">
            <w:pPr>
              <w:widowControl/>
              <w:rPr>
                <w:rFonts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</w:pPr>
          </w:p>
          <w:p w14:paraId="2CB104A2">
            <w:pPr>
              <w:widowControl/>
              <w:rPr>
                <w:rFonts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t>产品尺寸图</w:t>
            </w:r>
          </w:p>
          <w:p w14:paraId="6E759474">
            <w:pPr>
              <w:widowControl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</w:rPr>
              <w:drawing>
                <wp:inline distT="0" distB="0" distL="0" distR="0">
                  <wp:extent cx="5232400" cy="2046605"/>
                  <wp:effectExtent l="0" t="0" r="0" b="1079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1" t="25358" r="18687" b="21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0929" cy="2050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1F5D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FLiHeiBold(P)">
    <w:altName w:val="Microsoft JhengHei UI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F393C0"/>
    <w:multiLevelType w:val="singleLevel"/>
    <w:tmpl w:val="55F393C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1456E"/>
    <w:rsid w:val="35C1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left="480"/>
      <w:jc w:val="left"/>
    </w:pPr>
    <w:rPr>
      <w:rFonts w:eastAsia="DFLiHeiBold(P)"/>
      <w:sz w:val="23"/>
      <w:szCs w:val="20"/>
      <w:lang w:eastAsia="zh-TW"/>
    </w:rPr>
  </w:style>
  <w:style w:type="paragraph" w:customStyle="1" w:styleId="5">
    <w:name w:val="文1.2"/>
    <w:basedOn w:val="1"/>
    <w:qFormat/>
    <w:uiPriority w:val="0"/>
    <w:pPr>
      <w:widowControl/>
      <w:overflowPunct w:val="0"/>
      <w:autoSpaceDE w:val="0"/>
      <w:autoSpaceDN w:val="0"/>
      <w:adjustRightInd w:val="0"/>
      <w:spacing w:after="120" w:line="300" w:lineRule="exact"/>
      <w:ind w:left="1440" w:right="239"/>
      <w:textAlignment w:val="baseline"/>
    </w:pPr>
    <w:rPr>
      <w:rFonts w:ascii="Arial" w:hAnsi="Arial"/>
      <w:color w:val="000000"/>
      <w:kern w:val="0"/>
      <w:sz w:val="24"/>
      <w:szCs w:val="20"/>
      <w:lang w:eastAsia="zh-TW"/>
    </w:rPr>
  </w:style>
  <w:style w:type="paragraph" w:customStyle="1" w:styleId="6">
    <w:name w:val="文1"/>
    <w:basedOn w:val="1"/>
    <w:uiPriority w:val="0"/>
    <w:pPr>
      <w:widowControl/>
      <w:overflowPunct w:val="0"/>
      <w:autoSpaceDE w:val="0"/>
      <w:autoSpaceDN w:val="0"/>
      <w:adjustRightInd w:val="0"/>
      <w:spacing w:after="120" w:line="336" w:lineRule="exact"/>
      <w:ind w:left="1080" w:right="431"/>
      <w:textAlignment w:val="baseline"/>
    </w:pPr>
    <w:rPr>
      <w:rFonts w:ascii="Arial" w:hAnsi="Arial"/>
      <w:color w:val="000000"/>
      <w:kern w:val="0"/>
      <w:sz w:val="24"/>
      <w:szCs w:val="20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2025-04-02T08:04:00Z</dcterms:created>
  <dc:creator>itsw163com</dc:creator>
  <cp:lastModifiedBy>itsw163com</cp:lastModifiedBy>
  <dcterms:modified xsi:type="dcterms:W3CDTF">2025-04-02T08:09:14Z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D3E8B7CAED30460BAE6E268268562310_11</vt:lpwstr>
  </property>
  <property fmtid="{D5CDD505-2E9C-101B-9397-08002B2CF9AE}" pid="4" name="KSOTemplateDocerSaveRecord">
    <vt:lpwstr>eyJoZGlkIjoiZGJhZGRjNmVmYjZlMjY1ZmRjNWJkMTZlMTFkMzMzZjgiLCJ1c2VySWQiOiI3NTM4NDYxIn0=</vt:lpwstr>
  </property>
</Properties>
</file>